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CONTRACT DE SPONSORIZARE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Nr. ___ încheiat la data de _____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I. P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ĂRŢILE CONTRACTANTE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ĂRȚILE CONTRACTANTE</w:t>
      </w:r>
    </w:p>
    <w:p>
      <w:pPr>
        <w:spacing w:before="0" w:after="0" w:line="240"/>
        <w:ind w:right="0" w:left="72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_________ S.R.L.,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persoan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juridică rom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ân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ă, cu sediul social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____________________________, înregistrat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la Oficiul Registrului Comerțului de pe 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âng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Tribunalul Timiș sub nr. ________ av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ând CUI ___________ prin reprezentant legal, administrator, dl. _____________, în calitate de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Sponsor,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pe de o parte,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și</w:t>
      </w:r>
    </w:p>
    <w:p>
      <w:pPr>
        <w:spacing w:before="0" w:after="0" w:line="240"/>
        <w:ind w:right="0" w:left="36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ASOCIA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ŢIA RISE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persoană juridică rom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ân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fără scop patrimonial, cu sediul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Giroc, str. Narcisei nr. 8, jud. Timi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ş,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  <w:t xml:space="preserve"> av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  <w:t xml:space="preserve">ând CIF 47077531,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  <w:t xml:space="preserve">Cont bancar RO74INGB0000999913052287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  <w:t xml:space="preserve">deschis la ING Bank România,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reprezentat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legal prin preşedinte, Mariniuc Iulia Ioana,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calitate de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Beneficiar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pe de alt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parte,</w:t>
      </w:r>
    </w:p>
    <w:p>
      <w:pPr>
        <w:spacing w:before="0" w:after="0" w:line="240"/>
        <w:ind w:right="0" w:left="0" w:firstLine="567"/>
        <w:jc w:val="center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au convenit s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încheie prezentul contract de sponsorizare, cu respectarea dispozi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țiilor legale ale Legii nr. 32/1994 privind sponsorizarea, av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ând urm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ătoarele clauze:</w:t>
      </w:r>
    </w:p>
    <w:p>
      <w:pPr>
        <w:spacing w:before="0" w:after="0" w:line="240"/>
        <w:ind w:right="0" w:left="0" w:firstLine="567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II. OBIECTUL CONTRACTULUI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Prin prezentul contract, Sponsorul acord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Beneficiarului suma de __________ pentru sprijinirea activităților și acțiunilor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întreprinse de c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ătre Beneficiar, potrivit scopului statutar al acestuia. </w:t>
      </w:r>
    </w:p>
    <w:p>
      <w:pPr>
        <w:spacing w:before="0" w:after="0" w:line="240"/>
        <w:ind w:right="0" w:left="72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Suma care face obiectul sponsoriz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ării se va plăti de către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Sponsor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direct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contul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Beneficiarului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respectiv: cod IBAN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  <w:t xml:space="preserve">RO74INGB0000999913052287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deschis la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  <w:t xml:space="preserve">ING Bank România.</w:t>
      </w:r>
    </w:p>
    <w:p>
      <w:pPr>
        <w:tabs>
          <w:tab w:val="left" w:pos="851" w:leader="none"/>
        </w:tabs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51" w:leader="none"/>
        </w:tabs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III. OBLIGA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ŢIILE PĂRŢILOR CONTRACTANTE</w:t>
      </w:r>
    </w:p>
    <w:p>
      <w:pPr>
        <w:tabs>
          <w:tab w:val="left" w:pos="851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Beneficiarul se oblig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să folosească suma acordată de către Sponsor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scopul pentru care a fost destinat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prezentul contract, conform art. 2.1.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Beneficiarul este obligat s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informeze, la solicitarea Sponsorului, despre modul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care au fost utilizate fondurile primite.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Sponsorul se oblig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să vireze suma de bani precizată la art. 2.1,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contul Beneficiarului.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Sponsorul se oblig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să nu direcționeze sau să condiționeze,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nici un fel, direct sau indirect, prin intermediul contractului, activitatea Beneficiarului.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51" w:leader="none"/>
        </w:tabs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IV.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DURATA CONTRACTULUI</w:t>
      </w:r>
    </w:p>
    <w:p>
      <w:pPr>
        <w:tabs>
          <w:tab w:val="left" w:pos="851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26"/>
        </w:numPr>
        <w:tabs>
          <w:tab w:val="left" w:pos="851" w:leader="none"/>
        </w:tabs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Sponsorizarea este unic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și va fi pusă la dispoziția Beneficiarului 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ân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cel 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ârziu la data de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____________________.</w:t>
      </w:r>
    </w:p>
    <w:p>
      <w:pPr>
        <w:tabs>
          <w:tab w:val="left" w:pos="851" w:leader="none"/>
        </w:tabs>
        <w:spacing w:before="0" w:after="0" w:line="240"/>
        <w:ind w:right="0" w:left="72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"/>
        </w:numPr>
        <w:tabs>
          <w:tab w:val="left" w:pos="851" w:leader="none"/>
        </w:tabs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Prezentul contract intr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vigoare la data semn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ării și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și păstrează valabilitatea 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ân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la executarea integrală, de către ambele părți, a obligațiilor contractuale.</w:t>
      </w:r>
    </w:p>
    <w:p>
      <w:pPr>
        <w:tabs>
          <w:tab w:val="left" w:pos="851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18" w:leader="none"/>
        </w:tabs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V. ÎNCETAREA CONTRACTULUI</w:t>
      </w:r>
    </w:p>
    <w:p>
      <w:pPr>
        <w:tabs>
          <w:tab w:val="left" w:pos="1418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2"/>
        </w:numPr>
        <w:tabs>
          <w:tab w:val="left" w:pos="851" w:leader="none"/>
        </w:tabs>
        <w:spacing w:before="0" w:after="0" w:line="240"/>
        <w:ind w:right="0" w:left="720" w:hanging="72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Prezentul contract înceteaz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de plin drept, fără a mai fi necesară intervenția instanțelor de judecată sau a unui tribunal arbitral,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urm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ătoarele situații:</w:t>
      </w:r>
    </w:p>
    <w:p>
      <w:pPr>
        <w:numPr>
          <w:ilvl w:val="0"/>
          <w:numId w:val="32"/>
        </w:numPr>
        <w:tabs>
          <w:tab w:val="left" w:pos="851" w:leader="none"/>
        </w:tabs>
        <w:spacing w:before="0" w:after="0" w:line="240"/>
        <w:ind w:right="0" w:left="144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prin rezolu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țiune,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cazul în care una dintre 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ărți nu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și execută una dintre obligațiile esențiale stabilite prin prezentul contract;</w:t>
      </w:r>
    </w:p>
    <w:p>
      <w:pPr>
        <w:numPr>
          <w:ilvl w:val="0"/>
          <w:numId w:val="32"/>
        </w:numPr>
        <w:tabs>
          <w:tab w:val="left" w:pos="851" w:leader="none"/>
        </w:tabs>
        <w:spacing w:before="0" w:after="0" w:line="240"/>
        <w:ind w:right="0" w:left="144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oricare dintre 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ărți este declarată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stare de incapacitate de plat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sau a fost declanșată procedura insolvenței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înainte de începerea execut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ării prezentului contract;</w:t>
      </w:r>
    </w:p>
    <w:p>
      <w:pPr>
        <w:numPr>
          <w:ilvl w:val="0"/>
          <w:numId w:val="32"/>
        </w:numPr>
        <w:tabs>
          <w:tab w:val="left" w:pos="851" w:leader="none"/>
        </w:tabs>
        <w:spacing w:before="0" w:after="0" w:line="240"/>
        <w:ind w:right="0" w:left="144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cesioneaz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drepturile și obligațiile sale prevăzute de prezentul contract fără acordul celeilalte părți contractante.</w:t>
      </w:r>
    </w:p>
    <w:p>
      <w:pPr>
        <w:tabs>
          <w:tab w:val="left" w:pos="851" w:leader="none"/>
        </w:tabs>
        <w:spacing w:before="0" w:after="0" w:line="240"/>
        <w:ind w:right="0" w:left="144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5"/>
        </w:numPr>
        <w:tabs>
          <w:tab w:val="left" w:pos="851" w:leader="none"/>
        </w:tabs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Partea care invoc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o cauză de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încetare a prevederilor prezentului contract, o va notifica pe cealalt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parte cu cel puțin 3 zile calendaristice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înainte de data la care încetarea urmeaz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să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și producă efectele.</w:t>
      </w:r>
    </w:p>
    <w:p>
      <w:pPr>
        <w:tabs>
          <w:tab w:val="left" w:pos="851" w:leader="none"/>
        </w:tabs>
        <w:spacing w:before="0" w:after="0" w:line="240"/>
        <w:ind w:right="0" w:left="72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7"/>
        </w:numPr>
        <w:tabs>
          <w:tab w:val="left" w:pos="851" w:leader="none"/>
        </w:tabs>
        <w:spacing w:before="0" w:after="0" w:line="240"/>
        <w:ind w:right="0" w:left="720" w:hanging="72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Prevederile prezentului capitol nu înl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ătură răspunderea părții care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mod culpabil a cauzat încetarea contractului. </w:t>
      </w:r>
    </w:p>
    <w:p>
      <w:pPr>
        <w:tabs>
          <w:tab w:val="left" w:pos="851" w:leader="none"/>
        </w:tabs>
        <w:spacing w:before="0" w:after="0" w:line="240"/>
        <w:ind w:right="0" w:left="72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VI. NOTIFIC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ĂRI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41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Orice notificare sau coresponden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ță adresată de o parte celeilalte părţi este considerată ca fiind comunicată dacă are confirmarea de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înregistrare sau de primire prin remitere personal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ă, e-mail, fax sau serviciul poştal/curierat la adresa de la coordonatele prevăzute la datele de identificare ale fiecărei părţi din Capitolul I al prezentului contract.</w:t>
      </w:r>
    </w:p>
    <w:p>
      <w:pPr>
        <w:spacing w:before="0" w:after="0" w:line="240"/>
        <w:ind w:right="0" w:left="72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3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Data comunic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ării este considerată ca fiind, după caz: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(i)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data semnării de primire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cazul remiterii documentului;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(ii)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data confirm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ării de primire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cazul coresponden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ţei expediate prin poştă (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cel t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ârziu la expirarea unei perioade de dou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ă zile lucrătoare de la avizarea primirii corespondenţei de către serviciul poştal,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în cazul neprimirii coresponden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ţei de către destinatar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);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(iii)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data expedierii e-mailului sau fax-ului, dacă expedierea s-a făcut 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ân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la orele 17.00, respectiv următoarea zi lucrătoare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cazul expedierii dup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orele 17.00,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ambele cazuri, cu condi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ţia dovedirii expedierii documentului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cauz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5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Notific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ările verbale nu se iau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considerare dac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nu sunt confirmare prin intermediul uneia dintre modalitățile prevăzute mai sus.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7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Pentru aspecte legate de implementarea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și executarea corespunzătoare a prezentului contract, părțile stabilesc următoarele date și persoane de contact:</w:t>
      </w:r>
    </w:p>
    <w:p>
      <w:pPr>
        <w:numPr>
          <w:ilvl w:val="0"/>
          <w:numId w:val="47"/>
        </w:numPr>
        <w:spacing w:before="0" w:after="0" w:line="240"/>
        <w:ind w:right="0" w:left="108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Pentru Beneficiar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persoana desemnat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este Mariniuc Iulia Ioana, telefon 0740163215, e-mail asociatia.rise@gmail.com</w:t>
      </w:r>
    </w:p>
    <w:p>
      <w:pPr>
        <w:numPr>
          <w:ilvl w:val="0"/>
          <w:numId w:val="47"/>
        </w:numPr>
        <w:spacing w:before="0" w:after="0" w:line="240"/>
        <w:ind w:right="0" w:left="108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Pentru Sponsor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persoana desemnat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este ______________, telefon _______________, e-mail ______________ .</w:t>
      </w:r>
    </w:p>
    <w:p>
      <w:pPr>
        <w:spacing w:before="0" w:after="0" w:line="240"/>
        <w:ind w:right="270" w:left="0" w:firstLine="4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70" w:left="0" w:firstLine="4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  <w:tab w:val="left" w:pos="1418" w:leader="none"/>
        </w:tabs>
        <w:spacing w:before="0" w:after="0" w:line="240"/>
        <w:ind w:right="27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VII. FOR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ȚA MAJORĂ</w:t>
      </w:r>
    </w:p>
    <w:p>
      <w:pPr>
        <w:tabs>
          <w:tab w:val="left" w:pos="0" w:leader="none"/>
          <w:tab w:val="left" w:pos="1418" w:leader="none"/>
        </w:tabs>
        <w:spacing w:before="0" w:after="0" w:line="240"/>
        <w:ind w:right="27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52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Cazul de for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ţă majoră, prin aceasta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ţeleg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ându-se orice eveniment independent de voin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ţa părţilor, de ne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ăturat, fenomene naturale, război, greve generale, restricţii guvernamentale, acte teroriste etc., exonerează partea afectată de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îndeplinirea obliga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ţiilor contractuale.</w:t>
      </w:r>
    </w:p>
    <w:p>
      <w:pPr>
        <w:spacing w:before="0" w:after="0" w:line="240"/>
        <w:ind w:right="0" w:left="72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4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Nu constituie caz de for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ţă majoră insolvabilitatea, incapacitatea de plată, litigii cu terţe persoane juridice şi fizice, greve la nivelul unităţii contractante, cu excepţia grevelor spontane.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6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Apari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ţia cazului de forţă majoră se notifică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scris, în termen de 48 ore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şi se dovedeşte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termen de 15 zile de la apari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ţie, cu acte oficiale sau extrase de presă scrisă, care relatează pe larg evenimentul de notorietate publică.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8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Dac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durata cazului de forţă majoră depășește 45 zile, partea interesată poate rezilia contractul prin simpla notificare scrisă.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0"/>
        </w:numPr>
        <w:spacing w:before="0" w:after="0" w:line="240"/>
        <w:ind w:right="270" w:left="720" w:hanging="72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Invocarea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şi acceptarea sau recunoaşterea forţei majore nu absolvă pe niciuna din părţi de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îndeplinirea obliga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ţiilor contractuale 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ân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la apariţia forţei majore.</w:t>
      </w:r>
    </w:p>
    <w:p>
      <w:pPr>
        <w:spacing w:before="0" w:after="0" w:line="240"/>
        <w:ind w:right="27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7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VIII. LITIGII</w:t>
      </w:r>
    </w:p>
    <w:p>
      <w:pPr>
        <w:spacing w:before="0" w:after="0" w:line="240"/>
        <w:ind w:right="27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27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8.1.   </w:t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ărțile au convenit ca toate ne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țelegerile privind validitatea prezentului contract sau rezultate din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încheierea, interpretarea, executarea sau încetarea acestuia, s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fie rezolvate pe cale amiabilă de către reprezentanții lor.</w:t>
      </w:r>
    </w:p>
    <w:p>
      <w:pPr>
        <w:spacing w:before="0" w:after="0" w:line="240"/>
        <w:ind w:right="27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7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8.2.   </w:t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Dac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părțile nu ajung la un consens pe cale amiabilă, orice litigiu decurg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ând din sau în leg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ătură cu acest contract, inclusiv referitor la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încheierea, executarea, desfiin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țarea ori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încetarea acestuia, se va solu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ționa de către instanța judecătorească competentă material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a c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ărei circumscripție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și are sediul Beneficiarului. </w:t>
      </w:r>
    </w:p>
    <w:p>
      <w:pPr>
        <w:spacing w:before="0" w:after="0" w:line="240"/>
        <w:ind w:right="27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7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IX.  CONFIDEN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ȚIALITATEA</w:t>
      </w:r>
    </w:p>
    <w:p>
      <w:pPr>
        <w:spacing w:before="0" w:after="0" w:line="240"/>
        <w:ind w:right="27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9.1.  </w:t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ărțile vor trata drept confidențiale toate informațiile care le-au fost aduse la cunoștință de către cealaltă parte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leg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ătură cu activitatea sa, cu excepția celor care sunt sau devin disponibile publicului larg. </w:t>
      </w:r>
    </w:p>
    <w:p>
      <w:pPr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9.2.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</w:t>
        <w:tab/>
        <w:t xml:space="preserve">Nicio parte nu va folosi în niciun moment aceste informa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ții, fără acordul prealabil scris al celeilalte părți,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niciun alt scop decât în leg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ătură cu executarea obligațiilor ce le revin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temeiul prezentului contract.</w:t>
      </w:r>
    </w:p>
    <w:p>
      <w:pPr>
        <w:spacing w:before="0" w:after="0" w:line="240"/>
        <w:ind w:right="0" w:left="720" w:hanging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51" w:leader="none"/>
          <w:tab w:val="left" w:pos="1134" w:leader="none"/>
        </w:tabs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X. DISPOZI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ŢII FINALE</w:t>
      </w:r>
    </w:p>
    <w:p>
      <w:pPr>
        <w:tabs>
          <w:tab w:val="left" w:pos="851" w:leader="none"/>
          <w:tab w:val="left" w:pos="1134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71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Modificarea prezentului contract poate fi f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ăcută numai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scris, prin acordul ambelor 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ărţi, sub forma unui act adiţional. </w:t>
      </w:r>
    </w:p>
    <w:p>
      <w:pPr>
        <w:spacing w:before="0" w:after="0" w:line="240"/>
        <w:ind w:right="0" w:left="72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3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Prezentul contract reprezint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voința părților și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ătură orice altă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țelegere verbală dintre acestea, anterioară sau ulterioară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încheierii lui.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5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cazul în care 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ărțile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și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încalc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obligațiile lor, neexercitarea de partea care suferă vreun prejudiciu a dreptului de a cere executarea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întocmai sau prin echivalent b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ănesc a obligației respective, nu se consideră ca aceasta a renunțat la acest drept al său.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7"/>
        </w:numPr>
        <w:spacing w:before="0" w:after="0" w:line="240"/>
        <w:ind w:right="0" w:left="720" w:hanging="72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Prezentul contract a fost încheiat ast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ăzi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______________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în 2 (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dou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) exemplare, c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âte unul pentru fiecare parte.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Sponsor: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Beneficiar: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_____________________                                                                                     Asocia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ția RISE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Reprezentat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ă legal prin                                                                        Reprezentată legal prin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administrator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_____________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Pre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ședinte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Mariniuc Iulia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num w:numId="3">
    <w:abstractNumId w:val="144"/>
  </w:num>
  <w:num w:numId="10">
    <w:abstractNumId w:val="138"/>
  </w:num>
  <w:num w:numId="12">
    <w:abstractNumId w:val="132"/>
  </w:num>
  <w:num w:numId="16">
    <w:abstractNumId w:val="126"/>
  </w:num>
  <w:num w:numId="18">
    <w:abstractNumId w:val="120"/>
  </w:num>
  <w:num w:numId="20">
    <w:abstractNumId w:val="114"/>
  </w:num>
  <w:num w:numId="22">
    <w:abstractNumId w:val="108"/>
  </w:num>
  <w:num w:numId="26">
    <w:abstractNumId w:val="102"/>
  </w:num>
  <w:num w:numId="28">
    <w:abstractNumId w:val="96"/>
  </w:num>
  <w:num w:numId="32">
    <w:abstractNumId w:val="90"/>
  </w:num>
  <w:num w:numId="35">
    <w:abstractNumId w:val="84"/>
  </w:num>
  <w:num w:numId="37">
    <w:abstractNumId w:val="78"/>
  </w:num>
  <w:num w:numId="41">
    <w:abstractNumId w:val="72"/>
  </w:num>
  <w:num w:numId="43">
    <w:abstractNumId w:val="66"/>
  </w:num>
  <w:num w:numId="45">
    <w:abstractNumId w:val="60"/>
  </w:num>
  <w:num w:numId="47">
    <w:abstractNumId w:val="54"/>
  </w:num>
  <w:num w:numId="52">
    <w:abstractNumId w:val="48"/>
  </w:num>
  <w:num w:numId="54">
    <w:abstractNumId w:val="42"/>
  </w:num>
  <w:num w:numId="56">
    <w:abstractNumId w:val="36"/>
  </w:num>
  <w:num w:numId="58">
    <w:abstractNumId w:val="30"/>
  </w:num>
  <w:num w:numId="60">
    <w:abstractNumId w:val="24"/>
  </w:num>
  <w:num w:numId="71">
    <w:abstractNumId w:val="18"/>
  </w:num>
  <w:num w:numId="73">
    <w:abstractNumId w:val="12"/>
  </w:num>
  <w:num w:numId="75">
    <w:abstractNumId w:val="6"/>
  </w:num>
  <w:num w:numId="7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